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24" w:rsidRPr="009916F7" w:rsidRDefault="00814424" w:rsidP="009916F7">
      <w:pPr>
        <w:spacing w:after="0" w:line="300" w:lineRule="atLeast"/>
        <w:jc w:val="center"/>
        <w:outlineLvl w:val="0"/>
        <w:rPr>
          <w:rFonts w:ascii="Helvetica" w:eastAsia="Times New Roman" w:hAnsi="Helvetica" w:cs="Times New Roman"/>
          <w:b/>
          <w:bCs/>
          <w:caps/>
          <w:color w:val="333333"/>
          <w:kern w:val="36"/>
          <w:sz w:val="20"/>
          <w:szCs w:val="20"/>
          <w:lang w:eastAsia="it-IT"/>
        </w:rPr>
      </w:pPr>
      <w:r w:rsidRPr="009916F7">
        <w:rPr>
          <w:rFonts w:ascii="Helvetica" w:eastAsia="Times New Roman" w:hAnsi="Helvetica" w:cs="Times New Roman"/>
          <w:b/>
          <w:bCs/>
          <w:caps/>
          <w:color w:val="333333"/>
          <w:kern w:val="36"/>
          <w:sz w:val="20"/>
          <w:szCs w:val="20"/>
          <w:lang w:eastAsia="it-IT"/>
        </w:rPr>
        <w:t>NUOVI REQUISITI DI PRESTAZIONE ENERGETICA DEGLI EDIFICI IN VIGORE DAL 1 OTTOBRE 2015</w:t>
      </w:r>
    </w:p>
    <w:p w:rsidR="00814424" w:rsidRPr="009916F7" w:rsidRDefault="00814424" w:rsidP="00814424">
      <w:pPr>
        <w:spacing w:after="0" w:line="240" w:lineRule="atLeast"/>
        <w:jc w:val="both"/>
        <w:rPr>
          <w:rFonts w:ascii="Arial" w:eastAsia="Times New Roman" w:hAnsi="Arial" w:cs="Arial"/>
          <w:sz w:val="18"/>
          <w:szCs w:val="18"/>
          <w:lang w:eastAsia="it-IT"/>
        </w:rPr>
      </w:pPr>
      <w:r w:rsidRPr="009916F7">
        <w:rPr>
          <w:rFonts w:ascii="Arial" w:eastAsia="Times New Roman" w:hAnsi="Arial" w:cs="Arial"/>
          <w:sz w:val="18"/>
          <w:szCs w:val="18"/>
          <w:lang w:eastAsia="it-IT"/>
        </w:rPr>
        <w:t>E’ stato pubblicato sulla Gazzetta Ufficiale n. 162 del 15 luglio 2015, Supplemento Ordinario n. 39, </w:t>
      </w:r>
      <w:r w:rsidRPr="009916F7">
        <w:rPr>
          <w:rFonts w:ascii="Arial" w:eastAsia="Times New Roman" w:hAnsi="Arial" w:cs="Arial"/>
          <w:sz w:val="18"/>
          <w:szCs w:val="18"/>
          <w:bdr w:val="none" w:sz="0" w:space="0" w:color="auto" w:frame="1"/>
          <w:lang w:eastAsia="it-IT"/>
        </w:rPr>
        <w:t>il decreto ministeriale 26 giugno 2015</w:t>
      </w:r>
      <w:r w:rsidRPr="009916F7">
        <w:rPr>
          <w:rFonts w:ascii="Arial" w:eastAsia="Times New Roman" w:hAnsi="Arial" w:cs="Arial"/>
          <w:sz w:val="18"/>
          <w:szCs w:val="18"/>
          <w:lang w:eastAsia="it-IT"/>
        </w:rPr>
        <w:t> “</w:t>
      </w:r>
      <w:r w:rsidRPr="009916F7">
        <w:rPr>
          <w:rFonts w:ascii="inherit" w:eastAsia="Times New Roman" w:hAnsi="inherit" w:cs="Arial"/>
          <w:i/>
          <w:iCs/>
          <w:sz w:val="18"/>
          <w:szCs w:val="18"/>
          <w:bdr w:val="none" w:sz="0" w:space="0" w:color="auto" w:frame="1"/>
          <w:lang w:eastAsia="it-IT"/>
        </w:rPr>
        <w:t>Applicazione delle metodologie di calcolo delle prestazioni energetiche e definizione delle prescrizioni e dei requisiti minimi degli edifici</w:t>
      </w:r>
      <w:r w:rsidRPr="009916F7">
        <w:rPr>
          <w:rFonts w:ascii="Arial" w:eastAsia="Times New Roman" w:hAnsi="Arial" w:cs="Arial"/>
          <w:sz w:val="18"/>
          <w:szCs w:val="18"/>
          <w:lang w:eastAsia="it-IT"/>
        </w:rPr>
        <w:t>”, in attuazione dell’articolo 4, comma 1, del decreto legislativo n. 192/2005 e successive modifiche e integrazioni.</w:t>
      </w:r>
    </w:p>
    <w:p w:rsidR="009916F7" w:rsidRDefault="00814424" w:rsidP="009916F7">
      <w:pPr>
        <w:spacing w:after="0" w:line="240" w:lineRule="atLeast"/>
        <w:jc w:val="both"/>
        <w:rPr>
          <w:rFonts w:ascii="Arial" w:eastAsia="Times New Roman" w:hAnsi="Arial" w:cs="Arial"/>
          <w:color w:val="000000"/>
          <w:sz w:val="18"/>
          <w:szCs w:val="18"/>
          <w:lang w:eastAsia="it-IT"/>
        </w:rPr>
      </w:pPr>
      <w:r w:rsidRPr="00814424">
        <w:rPr>
          <w:rFonts w:ascii="Arial" w:eastAsia="Times New Roman" w:hAnsi="Arial" w:cs="Arial"/>
          <w:color w:val="000000"/>
          <w:sz w:val="18"/>
          <w:szCs w:val="18"/>
          <w:lang w:eastAsia="it-IT"/>
        </w:rPr>
        <w:t xml:space="preserve">Le nuove regole – </w:t>
      </w:r>
      <w:r w:rsidRPr="00814424">
        <w:rPr>
          <w:rFonts w:ascii="Arial" w:eastAsia="Times New Roman" w:hAnsi="Arial" w:cs="Arial"/>
          <w:b/>
          <w:bCs/>
          <w:color w:val="000000"/>
          <w:sz w:val="18"/>
          <w:szCs w:val="18"/>
          <w:bdr w:val="none" w:sz="0" w:space="0" w:color="auto" w:frame="1"/>
          <w:lang w:eastAsia="it-IT"/>
        </w:rPr>
        <w:t>entra</w:t>
      </w:r>
      <w:r>
        <w:rPr>
          <w:rFonts w:ascii="Arial" w:eastAsia="Times New Roman" w:hAnsi="Arial" w:cs="Arial"/>
          <w:b/>
          <w:bCs/>
          <w:color w:val="000000"/>
          <w:sz w:val="18"/>
          <w:szCs w:val="18"/>
          <w:bdr w:val="none" w:sz="0" w:space="0" w:color="auto" w:frame="1"/>
          <w:lang w:eastAsia="it-IT"/>
        </w:rPr>
        <w:t>te</w:t>
      </w:r>
      <w:r w:rsidRPr="00814424">
        <w:rPr>
          <w:rFonts w:ascii="Arial" w:eastAsia="Times New Roman" w:hAnsi="Arial" w:cs="Arial"/>
          <w:b/>
          <w:bCs/>
          <w:color w:val="000000"/>
          <w:sz w:val="18"/>
          <w:szCs w:val="18"/>
          <w:bdr w:val="none" w:sz="0" w:space="0" w:color="auto" w:frame="1"/>
          <w:lang w:eastAsia="it-IT"/>
        </w:rPr>
        <w:t xml:space="preserve"> in vigore il 1° ottobre 2015</w:t>
      </w:r>
      <w:r w:rsidRPr="00814424">
        <w:rPr>
          <w:rFonts w:ascii="Arial" w:eastAsia="Times New Roman" w:hAnsi="Arial" w:cs="Arial"/>
          <w:color w:val="000000"/>
          <w:sz w:val="18"/>
          <w:szCs w:val="18"/>
          <w:lang w:eastAsia="it-IT"/>
        </w:rPr>
        <w:t> e sostituiscono quelle ad oggi fissate dal D.P.R. n. 59/2009 - sono state definite sulla base dei criteri e degli indirizzi stabiliti dalla Direttiva 2010/31/UE sulla prestazione energetica nell’edilizia. </w:t>
      </w:r>
    </w:p>
    <w:p w:rsidR="00814424" w:rsidRDefault="00814424" w:rsidP="009916F7">
      <w:pPr>
        <w:spacing w:after="0" w:line="240" w:lineRule="atLeast"/>
        <w:jc w:val="both"/>
        <w:rPr>
          <w:rFonts w:ascii="Arial" w:eastAsia="Times New Roman" w:hAnsi="Arial" w:cs="Arial"/>
          <w:color w:val="000000"/>
          <w:sz w:val="18"/>
          <w:szCs w:val="18"/>
          <w:lang w:eastAsia="it-IT"/>
        </w:rPr>
      </w:pPr>
      <w:r w:rsidRPr="00814424">
        <w:rPr>
          <w:rFonts w:ascii="Arial" w:eastAsia="Times New Roman" w:hAnsi="Arial" w:cs="Arial"/>
          <w:color w:val="000000"/>
          <w:sz w:val="18"/>
          <w:szCs w:val="18"/>
          <w:lang w:eastAsia="it-IT"/>
        </w:rPr>
        <w:t>Il nuovo decreto ministeriale, che aggiorna anche la metodologia di calcolo delle prestazioni energetiche e dell’utilizzo delle fonti rinnovabili in edilizia, </w:t>
      </w:r>
      <w:r w:rsidRPr="00814424">
        <w:rPr>
          <w:rFonts w:ascii="Arial" w:eastAsia="Times New Roman" w:hAnsi="Arial" w:cs="Arial"/>
          <w:b/>
          <w:bCs/>
          <w:color w:val="000000"/>
          <w:sz w:val="18"/>
          <w:szCs w:val="18"/>
          <w:bdr w:val="none" w:sz="0" w:space="0" w:color="auto" w:frame="1"/>
          <w:lang w:eastAsia="it-IT"/>
        </w:rPr>
        <w:t>definisce i requisiti degli edifici a energia quasi zero</w:t>
      </w:r>
      <w:r w:rsidRPr="00814424">
        <w:rPr>
          <w:rFonts w:ascii="Arial" w:eastAsia="Times New Roman" w:hAnsi="Arial" w:cs="Arial"/>
          <w:color w:val="000000"/>
          <w:sz w:val="18"/>
          <w:szCs w:val="18"/>
          <w:lang w:eastAsia="it-IT"/>
        </w:rPr>
        <w:t>, e fissa nuovi standard energetici minimi degli edifici.</w:t>
      </w:r>
    </w:p>
    <w:p w:rsidR="009916F7" w:rsidRDefault="009916F7" w:rsidP="00814424">
      <w:pPr>
        <w:spacing w:after="0" w:line="240" w:lineRule="atLeast"/>
        <w:jc w:val="both"/>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Le</w:t>
      </w:r>
      <w:r w:rsidR="00814424" w:rsidRPr="00814424">
        <w:rPr>
          <w:rFonts w:ascii="Arial" w:eastAsia="Times New Roman" w:hAnsi="Arial" w:cs="Arial"/>
          <w:color w:val="000000"/>
          <w:sz w:val="18"/>
          <w:szCs w:val="18"/>
          <w:lang w:eastAsia="it-IT"/>
        </w:rPr>
        <w:t xml:space="preserve"> principali novità introdotte</w:t>
      </w:r>
      <w:r>
        <w:rPr>
          <w:rFonts w:ascii="Arial" w:eastAsia="Times New Roman" w:hAnsi="Arial" w:cs="Arial"/>
          <w:color w:val="000000"/>
          <w:sz w:val="18"/>
          <w:szCs w:val="18"/>
          <w:lang w:eastAsia="it-IT"/>
        </w:rPr>
        <w:t xml:space="preserve"> sono:</w:t>
      </w:r>
    </w:p>
    <w:p w:rsidR="00814424" w:rsidRDefault="009916F7" w:rsidP="009916F7">
      <w:pPr>
        <w:spacing w:after="0" w:line="240" w:lineRule="atLeast"/>
        <w:ind w:left="142" w:hanging="142"/>
        <w:jc w:val="both"/>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w:t>
      </w:r>
      <w:r w:rsidR="00814424" w:rsidRPr="00814424">
        <w:rPr>
          <w:rFonts w:ascii="Arial" w:eastAsia="Times New Roman" w:hAnsi="Arial" w:cs="Arial"/>
          <w:color w:val="000000"/>
          <w:sz w:val="18"/>
          <w:szCs w:val="18"/>
          <w:lang w:eastAsia="it-IT"/>
        </w:rPr>
        <w:t xml:space="preserve"> il </w:t>
      </w:r>
      <w:r w:rsidR="00814424" w:rsidRPr="00814424">
        <w:rPr>
          <w:rFonts w:ascii="Arial" w:eastAsia="Times New Roman" w:hAnsi="Arial" w:cs="Arial"/>
          <w:b/>
          <w:bCs/>
          <w:color w:val="000000"/>
          <w:sz w:val="18"/>
          <w:szCs w:val="18"/>
          <w:bdr w:val="none" w:sz="0" w:space="0" w:color="auto" w:frame="1"/>
          <w:lang w:eastAsia="it-IT"/>
        </w:rPr>
        <w:t>cambiamento della metodologia di verifica</w:t>
      </w:r>
      <w:r w:rsidR="00814424" w:rsidRPr="00814424">
        <w:rPr>
          <w:rFonts w:ascii="Arial" w:eastAsia="Times New Roman" w:hAnsi="Arial" w:cs="Arial"/>
          <w:color w:val="000000"/>
          <w:sz w:val="18"/>
          <w:szCs w:val="18"/>
          <w:lang w:eastAsia="it-IT"/>
        </w:rPr>
        <w:t> del rispetto dei requisiti minimi richiesti dal decret</w:t>
      </w:r>
      <w:r>
        <w:rPr>
          <w:rFonts w:ascii="Arial" w:eastAsia="Times New Roman" w:hAnsi="Arial" w:cs="Arial"/>
          <w:color w:val="000000"/>
          <w:sz w:val="18"/>
          <w:szCs w:val="18"/>
          <w:lang w:eastAsia="it-IT"/>
        </w:rPr>
        <w:t>o.</w:t>
      </w:r>
      <w:r w:rsidR="00814424" w:rsidRPr="00814424">
        <w:rPr>
          <w:rFonts w:ascii="Arial" w:eastAsia="Times New Roman" w:hAnsi="Arial" w:cs="Arial"/>
          <w:color w:val="000000"/>
          <w:sz w:val="18"/>
          <w:szCs w:val="18"/>
          <w:lang w:eastAsia="it-IT"/>
        </w:rPr>
        <w:t xml:space="preserve"> </w:t>
      </w:r>
      <w:r>
        <w:rPr>
          <w:rFonts w:ascii="Arial" w:eastAsia="Times New Roman" w:hAnsi="Arial" w:cs="Arial"/>
          <w:color w:val="000000"/>
          <w:sz w:val="18"/>
          <w:szCs w:val="18"/>
          <w:lang w:eastAsia="it-IT"/>
        </w:rPr>
        <w:t>P</w:t>
      </w:r>
      <w:r w:rsidR="00814424" w:rsidRPr="00814424">
        <w:rPr>
          <w:rFonts w:ascii="Arial" w:eastAsia="Times New Roman" w:hAnsi="Arial" w:cs="Arial"/>
          <w:color w:val="000000"/>
          <w:sz w:val="18"/>
          <w:szCs w:val="18"/>
          <w:lang w:eastAsia="it-IT"/>
        </w:rPr>
        <w:t>er determinare il valore limite di prestazione energetica di un edificio, al posto dell’attuale tabella da cui estrapolare tale valore in funzione dei gradi giorno e del rapporto di forma S/V dell’edificio, occorrerà effettuare il calcolo del fabbisogno di energia per il cosiddetto “</w:t>
      </w:r>
      <w:r w:rsidR="00814424" w:rsidRPr="00814424">
        <w:rPr>
          <w:rFonts w:ascii="Arial" w:eastAsia="Times New Roman" w:hAnsi="Arial" w:cs="Arial"/>
          <w:b/>
          <w:bCs/>
          <w:color w:val="000000"/>
          <w:sz w:val="18"/>
          <w:szCs w:val="18"/>
          <w:bdr w:val="none" w:sz="0" w:space="0" w:color="auto" w:frame="1"/>
          <w:lang w:eastAsia="it-IT"/>
        </w:rPr>
        <w:t>edificio di riferimento</w:t>
      </w:r>
      <w:r w:rsidR="00814424" w:rsidRPr="00814424">
        <w:rPr>
          <w:rFonts w:ascii="Arial" w:eastAsia="Times New Roman" w:hAnsi="Arial" w:cs="Arial"/>
          <w:color w:val="000000"/>
          <w:sz w:val="18"/>
          <w:szCs w:val="18"/>
          <w:lang w:eastAsia="it-IT"/>
        </w:rPr>
        <w:t xml:space="preserve">”, ovvero un edificio identico a quello oggetto della progettazione per geometria, orientamento, ubicazione geografica, destinazione d’uso e tipologia di impianto, avente però le caratteristiche termiche ed energetiche (relative alla </w:t>
      </w:r>
      <w:proofErr w:type="spellStart"/>
      <w:r w:rsidR="00814424" w:rsidRPr="00814424">
        <w:rPr>
          <w:rFonts w:ascii="Arial" w:eastAsia="Times New Roman" w:hAnsi="Arial" w:cs="Arial"/>
          <w:color w:val="000000"/>
          <w:sz w:val="18"/>
          <w:szCs w:val="18"/>
          <w:lang w:eastAsia="it-IT"/>
        </w:rPr>
        <w:t>trasmittanza</w:t>
      </w:r>
      <w:proofErr w:type="spellEnd"/>
      <w:r w:rsidR="00814424" w:rsidRPr="00814424">
        <w:rPr>
          <w:rFonts w:ascii="Arial" w:eastAsia="Times New Roman" w:hAnsi="Arial" w:cs="Arial"/>
          <w:color w:val="000000"/>
          <w:sz w:val="18"/>
          <w:szCs w:val="18"/>
          <w:lang w:eastAsia="it-IT"/>
        </w:rPr>
        <w:t xml:space="preserve"> dell’involucro e al rendimento degli impianti) fissate dal decreto.</w:t>
      </w:r>
    </w:p>
    <w:p w:rsidR="00814424" w:rsidRPr="00814424" w:rsidRDefault="009916F7" w:rsidP="009916F7">
      <w:pPr>
        <w:spacing w:after="0" w:line="240" w:lineRule="atLeast"/>
        <w:ind w:left="142" w:hanging="142"/>
        <w:jc w:val="both"/>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w:t>
      </w:r>
      <w:r w:rsidR="00814424" w:rsidRPr="00814424">
        <w:rPr>
          <w:rFonts w:ascii="Arial" w:eastAsia="Times New Roman" w:hAnsi="Arial" w:cs="Arial"/>
          <w:color w:val="000000"/>
          <w:sz w:val="18"/>
          <w:szCs w:val="18"/>
          <w:lang w:eastAsia="it-IT"/>
        </w:rPr>
        <w:t xml:space="preserve"> i </w:t>
      </w:r>
      <w:r w:rsidR="00814424" w:rsidRPr="00814424">
        <w:rPr>
          <w:rFonts w:ascii="Arial" w:eastAsia="Times New Roman" w:hAnsi="Arial" w:cs="Arial"/>
          <w:b/>
          <w:bCs/>
          <w:color w:val="000000"/>
          <w:sz w:val="18"/>
          <w:szCs w:val="18"/>
          <w:bdr w:val="none" w:sz="0" w:space="0" w:color="auto" w:frame="1"/>
          <w:lang w:eastAsia="it-IT"/>
        </w:rPr>
        <w:t>servizi energetici da considerare ai fini del calcolo della prestazione energetica</w:t>
      </w:r>
      <w:r w:rsidR="00814424" w:rsidRPr="00814424">
        <w:rPr>
          <w:rFonts w:ascii="Arial" w:eastAsia="Times New Roman" w:hAnsi="Arial" w:cs="Arial"/>
          <w:color w:val="000000"/>
          <w:sz w:val="18"/>
          <w:szCs w:val="18"/>
          <w:lang w:eastAsia="it-IT"/>
        </w:rPr>
        <w:t>. Quest’ultima infatti corrisponde al fabbisogno energetico annuale globale in energia primaria per il riscaldamento, il raffrescamento, la ventilazione, la produzione di acqua calda sanitaria, e, nel settore non residenziale, per l’illuminazione, gli impianti ascensore e le scale mobili.</w:t>
      </w:r>
    </w:p>
    <w:p w:rsidR="00814424" w:rsidRDefault="009916F7" w:rsidP="009916F7">
      <w:pPr>
        <w:spacing w:after="0" w:line="240" w:lineRule="atLeast"/>
        <w:ind w:left="142" w:hanging="142"/>
        <w:jc w:val="both"/>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 xml:space="preserve">- </w:t>
      </w:r>
      <w:r w:rsidRPr="009916F7">
        <w:rPr>
          <w:rFonts w:ascii="Arial" w:eastAsia="Times New Roman" w:hAnsi="Arial" w:cs="Arial"/>
          <w:b/>
          <w:color w:val="000000"/>
          <w:sz w:val="18"/>
          <w:szCs w:val="18"/>
          <w:lang w:eastAsia="it-IT"/>
        </w:rPr>
        <w:t>ne</w:t>
      </w:r>
      <w:r w:rsidR="00814424" w:rsidRPr="009916F7">
        <w:rPr>
          <w:rFonts w:ascii="Arial" w:eastAsia="Times New Roman" w:hAnsi="Arial" w:cs="Arial"/>
          <w:b/>
          <w:color w:val="000000"/>
          <w:sz w:val="18"/>
          <w:szCs w:val="18"/>
          <w:lang w:eastAsia="it-IT"/>
        </w:rPr>
        <w:t>gli interventi sugli edifici esistenti</w:t>
      </w:r>
      <w:r w:rsidR="00814424" w:rsidRPr="00814424">
        <w:rPr>
          <w:rFonts w:ascii="Arial" w:eastAsia="Times New Roman" w:hAnsi="Arial" w:cs="Arial"/>
          <w:color w:val="000000"/>
          <w:sz w:val="18"/>
          <w:szCs w:val="18"/>
          <w:lang w:eastAsia="it-IT"/>
        </w:rPr>
        <w:t>, sono state maggiormente dettagliate le varie </w:t>
      </w:r>
      <w:r w:rsidR="00814424" w:rsidRPr="00814424">
        <w:rPr>
          <w:rFonts w:ascii="Arial" w:eastAsia="Times New Roman" w:hAnsi="Arial" w:cs="Arial"/>
          <w:b/>
          <w:bCs/>
          <w:color w:val="000000"/>
          <w:sz w:val="18"/>
          <w:szCs w:val="18"/>
          <w:bdr w:val="none" w:sz="0" w:space="0" w:color="auto" w:frame="1"/>
          <w:lang w:eastAsia="it-IT"/>
        </w:rPr>
        <w:t>casistiche</w:t>
      </w:r>
      <w:r w:rsidR="00814424" w:rsidRPr="00814424">
        <w:rPr>
          <w:rFonts w:ascii="Arial" w:eastAsia="Times New Roman" w:hAnsi="Arial" w:cs="Arial"/>
          <w:color w:val="000000"/>
          <w:sz w:val="18"/>
          <w:szCs w:val="18"/>
          <w:lang w:eastAsia="it-IT"/>
        </w:rPr>
        <w:t xml:space="preserve">. In particolare, le ristrutturazioni importanti, già definite dal decreto legislativo n. 192/2005 e </w:t>
      </w:r>
      <w:proofErr w:type="spellStart"/>
      <w:r w:rsidR="00814424" w:rsidRPr="00814424">
        <w:rPr>
          <w:rFonts w:ascii="Arial" w:eastAsia="Times New Roman" w:hAnsi="Arial" w:cs="Arial"/>
          <w:color w:val="000000"/>
          <w:sz w:val="18"/>
          <w:szCs w:val="18"/>
          <w:lang w:eastAsia="it-IT"/>
        </w:rPr>
        <w:t>s.m.i.</w:t>
      </w:r>
      <w:proofErr w:type="spellEnd"/>
      <w:r w:rsidR="00814424" w:rsidRPr="00814424">
        <w:rPr>
          <w:rFonts w:ascii="Arial" w:eastAsia="Times New Roman" w:hAnsi="Arial" w:cs="Arial"/>
          <w:color w:val="000000"/>
          <w:sz w:val="18"/>
          <w:szCs w:val="18"/>
          <w:lang w:eastAsia="it-IT"/>
        </w:rPr>
        <w:t>, vengono suddivise in primo e secondo livello a seconda dell’entità dell’intervento.</w:t>
      </w:r>
    </w:p>
    <w:p w:rsidR="009916F7" w:rsidRDefault="009916F7" w:rsidP="009916F7">
      <w:pPr>
        <w:spacing w:line="240" w:lineRule="atLeast"/>
        <w:ind w:left="142" w:hanging="142"/>
        <w:jc w:val="both"/>
        <w:rPr>
          <w:rFonts w:ascii="Arial" w:hAnsi="Arial" w:cs="Arial"/>
          <w:color w:val="000000"/>
          <w:sz w:val="18"/>
          <w:szCs w:val="18"/>
        </w:rPr>
      </w:pPr>
      <w:r>
        <w:rPr>
          <w:rFonts w:ascii="Arial" w:hAnsi="Arial" w:cs="Arial"/>
          <w:color w:val="000000"/>
          <w:sz w:val="18"/>
          <w:szCs w:val="18"/>
        </w:rPr>
        <w:t>- s</w:t>
      </w:r>
      <w:r>
        <w:rPr>
          <w:rFonts w:ascii="Arial" w:hAnsi="Arial" w:cs="Arial"/>
          <w:color w:val="000000"/>
          <w:sz w:val="18"/>
          <w:szCs w:val="18"/>
        </w:rPr>
        <w:t>ono stati pubblicati i tre schemi della</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relazione tecnica</w:t>
      </w:r>
      <w:r>
        <w:rPr>
          <w:rStyle w:val="apple-converted-space"/>
          <w:rFonts w:ascii="Arial" w:hAnsi="Arial" w:cs="Arial"/>
          <w:color w:val="000000"/>
          <w:sz w:val="18"/>
          <w:szCs w:val="18"/>
        </w:rPr>
        <w:t> </w:t>
      </w:r>
      <w:r>
        <w:rPr>
          <w:rFonts w:ascii="Arial" w:hAnsi="Arial" w:cs="Arial"/>
          <w:color w:val="000000"/>
          <w:sz w:val="18"/>
          <w:szCs w:val="18"/>
        </w:rPr>
        <w:t>di progetto attestante la rispondenza alle prescrizioni in materia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contenimento del consumo energetico</w:t>
      </w:r>
      <w:r>
        <w:rPr>
          <w:rStyle w:val="apple-converted-space"/>
          <w:rFonts w:ascii="Arial" w:hAnsi="Arial" w:cs="Arial"/>
          <w:color w:val="000000"/>
          <w:sz w:val="18"/>
          <w:szCs w:val="18"/>
        </w:rPr>
        <w:t> </w:t>
      </w:r>
      <w:r>
        <w:rPr>
          <w:rFonts w:ascii="Arial" w:hAnsi="Arial" w:cs="Arial"/>
          <w:color w:val="000000"/>
          <w:sz w:val="18"/>
          <w:szCs w:val="18"/>
        </w:rPr>
        <w:t xml:space="preserve">degli edifici, relativi alle diverse tipologie di lavori ovvero: </w:t>
      </w:r>
      <w:r w:rsidRPr="009916F7">
        <w:rPr>
          <w:rFonts w:ascii="Arial" w:hAnsi="Arial" w:cs="Arial"/>
          <w:b/>
          <w:color w:val="000000"/>
          <w:sz w:val="18"/>
          <w:szCs w:val="18"/>
        </w:rPr>
        <w:t>nuove costruzioni</w:t>
      </w:r>
      <w:r>
        <w:rPr>
          <w:rFonts w:ascii="Arial" w:hAnsi="Arial" w:cs="Arial"/>
          <w:color w:val="000000"/>
          <w:sz w:val="18"/>
          <w:szCs w:val="18"/>
        </w:rPr>
        <w:t xml:space="preserve">, </w:t>
      </w:r>
      <w:r w:rsidRPr="009916F7">
        <w:rPr>
          <w:rFonts w:ascii="Arial" w:hAnsi="Arial" w:cs="Arial"/>
          <w:b/>
          <w:color w:val="000000"/>
          <w:sz w:val="18"/>
          <w:szCs w:val="18"/>
        </w:rPr>
        <w:t>ristrutturazioni importanti</w:t>
      </w:r>
      <w:r>
        <w:rPr>
          <w:rFonts w:ascii="Arial" w:hAnsi="Arial" w:cs="Arial"/>
          <w:color w:val="000000"/>
          <w:sz w:val="18"/>
          <w:szCs w:val="18"/>
        </w:rPr>
        <w:t xml:space="preserve"> e </w:t>
      </w:r>
      <w:r w:rsidRPr="009916F7">
        <w:rPr>
          <w:rFonts w:ascii="Arial" w:hAnsi="Arial" w:cs="Arial"/>
          <w:b/>
          <w:color w:val="000000"/>
          <w:sz w:val="18"/>
          <w:szCs w:val="18"/>
        </w:rPr>
        <w:t>interventi di riqualificazione energetica</w:t>
      </w:r>
      <w:r>
        <w:rPr>
          <w:rFonts w:ascii="Arial" w:hAnsi="Arial" w:cs="Arial"/>
          <w:color w:val="000000"/>
          <w:sz w:val="18"/>
          <w:szCs w:val="18"/>
        </w:rPr>
        <w:t>.</w:t>
      </w:r>
    </w:p>
    <w:p w:rsidR="00615B3B" w:rsidRDefault="00615B3B" w:rsidP="00615B3B">
      <w:pPr>
        <w:spacing w:after="0" w:line="300" w:lineRule="atLeast"/>
        <w:jc w:val="center"/>
        <w:outlineLvl w:val="0"/>
        <w:rPr>
          <w:rFonts w:ascii="Helvetica" w:eastAsia="Times New Roman" w:hAnsi="Helvetica" w:cs="Times New Roman"/>
          <w:b/>
          <w:bCs/>
          <w:caps/>
          <w:color w:val="333333"/>
          <w:kern w:val="36"/>
          <w:sz w:val="20"/>
          <w:szCs w:val="20"/>
          <w:lang w:eastAsia="it-IT"/>
        </w:rPr>
      </w:pPr>
    </w:p>
    <w:p w:rsidR="00615B3B" w:rsidRDefault="00615B3B" w:rsidP="00615B3B">
      <w:pPr>
        <w:spacing w:after="0" w:line="300" w:lineRule="atLeast"/>
        <w:jc w:val="center"/>
        <w:outlineLvl w:val="0"/>
        <w:rPr>
          <w:rFonts w:ascii="Helvetica" w:eastAsia="Times New Roman" w:hAnsi="Helvetica" w:cs="Times New Roman"/>
          <w:b/>
          <w:bCs/>
          <w:caps/>
          <w:color w:val="333333"/>
          <w:kern w:val="36"/>
          <w:sz w:val="20"/>
          <w:szCs w:val="20"/>
          <w:lang w:eastAsia="it-IT"/>
        </w:rPr>
      </w:pPr>
      <w:bookmarkStart w:id="0" w:name="_GoBack"/>
      <w:bookmarkEnd w:id="0"/>
      <w:r>
        <w:rPr>
          <w:rFonts w:ascii="Helvetica" w:eastAsia="Times New Roman" w:hAnsi="Helvetica" w:cs="Times New Roman"/>
          <w:b/>
          <w:bCs/>
          <w:caps/>
          <w:color w:val="333333"/>
          <w:kern w:val="36"/>
          <w:sz w:val="20"/>
          <w:szCs w:val="20"/>
          <w:lang w:eastAsia="it-IT"/>
        </w:rPr>
        <w:t>NUOVE LINEE GUIDA PER L’ATTESTAZIONE DELLA PRESTAZIONE ENERGETICA DEGLI EDIFICI</w:t>
      </w:r>
    </w:p>
    <w:p w:rsidR="00615B3B" w:rsidRPr="009916F7" w:rsidRDefault="00615B3B" w:rsidP="00615B3B">
      <w:pPr>
        <w:spacing w:after="0" w:line="300" w:lineRule="atLeast"/>
        <w:jc w:val="center"/>
        <w:outlineLvl w:val="0"/>
        <w:rPr>
          <w:rFonts w:ascii="Helvetica" w:eastAsia="Times New Roman" w:hAnsi="Helvetica" w:cs="Times New Roman"/>
          <w:b/>
          <w:bCs/>
          <w:caps/>
          <w:color w:val="333333"/>
          <w:kern w:val="36"/>
          <w:sz w:val="20"/>
          <w:szCs w:val="20"/>
          <w:lang w:eastAsia="it-IT"/>
        </w:rPr>
      </w:pPr>
      <w:r w:rsidRPr="009916F7">
        <w:rPr>
          <w:rFonts w:ascii="Helvetica" w:eastAsia="Times New Roman" w:hAnsi="Helvetica" w:cs="Times New Roman"/>
          <w:b/>
          <w:bCs/>
          <w:caps/>
          <w:color w:val="333333"/>
          <w:kern w:val="36"/>
          <w:sz w:val="20"/>
          <w:szCs w:val="20"/>
          <w:lang w:eastAsia="it-IT"/>
        </w:rPr>
        <w:t xml:space="preserve"> IN VIGORE DAL 1 OTTOBRE 2015</w:t>
      </w:r>
    </w:p>
    <w:p w:rsidR="00814424" w:rsidRDefault="00814424" w:rsidP="00814424">
      <w:pPr>
        <w:spacing w:after="0" w:line="240" w:lineRule="atLeast"/>
        <w:jc w:val="both"/>
        <w:rPr>
          <w:rFonts w:ascii="Arial" w:eastAsia="Times New Roman" w:hAnsi="Arial" w:cs="Arial"/>
          <w:color w:val="000000"/>
          <w:sz w:val="18"/>
          <w:szCs w:val="18"/>
          <w:lang w:eastAsia="it-IT"/>
        </w:rPr>
      </w:pPr>
      <w:r w:rsidRPr="00814424">
        <w:rPr>
          <w:rFonts w:ascii="Arial" w:eastAsia="Times New Roman" w:hAnsi="Arial" w:cs="Arial"/>
          <w:b/>
          <w:bCs/>
          <w:color w:val="000000"/>
          <w:sz w:val="18"/>
          <w:szCs w:val="18"/>
          <w:bdr w:val="none" w:sz="0" w:space="0" w:color="auto" w:frame="1"/>
          <w:lang w:eastAsia="it-IT"/>
        </w:rPr>
        <w:t>Le nuove Linee guida per l’attestazione della prestazione energetica degli edifici</w:t>
      </w:r>
      <w:r w:rsidRPr="00814424">
        <w:rPr>
          <w:rFonts w:ascii="Arial" w:eastAsia="Times New Roman" w:hAnsi="Arial" w:cs="Arial"/>
          <w:color w:val="000000"/>
          <w:sz w:val="18"/>
          <w:szCs w:val="18"/>
          <w:lang w:eastAsia="it-IT"/>
        </w:rPr>
        <w:t> defin</w:t>
      </w:r>
      <w:r w:rsidR="00615B3B">
        <w:rPr>
          <w:rFonts w:ascii="Arial" w:eastAsia="Times New Roman" w:hAnsi="Arial" w:cs="Arial"/>
          <w:color w:val="000000"/>
          <w:sz w:val="18"/>
          <w:szCs w:val="18"/>
          <w:lang w:eastAsia="it-IT"/>
        </w:rPr>
        <w:t xml:space="preserve">iscono </w:t>
      </w:r>
      <w:r w:rsidRPr="00814424">
        <w:rPr>
          <w:rFonts w:ascii="Arial" w:eastAsia="Times New Roman" w:hAnsi="Arial" w:cs="Arial"/>
          <w:color w:val="000000"/>
          <w:sz w:val="18"/>
          <w:szCs w:val="18"/>
          <w:lang w:eastAsia="it-IT"/>
        </w:rPr>
        <w:t>i contenuti e i format del nuovo Attestato di prestazione energetica (APE) degli edifici, nonché dell’attestato di qualificazione energetica e delle informazioni sulle prestazioni energetiche da inserire negli annunci commerciali di vendita o locazione degli immobili.</w:t>
      </w:r>
    </w:p>
    <w:p w:rsidR="005B4CA9" w:rsidRDefault="005B4CA9" w:rsidP="005B4CA9">
      <w:pPr>
        <w:spacing w:after="0" w:line="240" w:lineRule="atLeast"/>
        <w:jc w:val="both"/>
        <w:rPr>
          <w:rFonts w:ascii="Arial" w:eastAsia="Times New Roman" w:hAnsi="Arial" w:cs="Arial"/>
          <w:color w:val="000000"/>
          <w:sz w:val="18"/>
          <w:szCs w:val="18"/>
          <w:lang w:eastAsia="it-IT"/>
        </w:rPr>
      </w:pPr>
    </w:p>
    <w:p w:rsidR="005B4CA9" w:rsidRDefault="005B4CA9" w:rsidP="005B4CA9">
      <w:pPr>
        <w:spacing w:after="0" w:line="240" w:lineRule="atLeast"/>
        <w:jc w:val="both"/>
        <w:rPr>
          <w:rFonts w:ascii="Arial" w:eastAsia="Times New Roman" w:hAnsi="Arial" w:cs="Arial"/>
          <w:color w:val="000000"/>
          <w:sz w:val="18"/>
          <w:szCs w:val="18"/>
          <w:lang w:eastAsia="it-IT"/>
        </w:rPr>
      </w:pPr>
      <w:r w:rsidRPr="00814424">
        <w:rPr>
          <w:rFonts w:ascii="Arial" w:eastAsia="Times New Roman" w:hAnsi="Arial" w:cs="Arial"/>
          <w:color w:val="000000"/>
          <w:sz w:val="18"/>
          <w:szCs w:val="18"/>
          <w:lang w:eastAsia="it-IT"/>
        </w:rPr>
        <w:t xml:space="preserve">La classe energetica dell’edificio è determinata sulla base del suddetto indice di prestazione energetica globale non rinnovabile dell’edificio </w:t>
      </w:r>
      <w:proofErr w:type="spellStart"/>
      <w:r w:rsidRPr="005B4CA9">
        <w:rPr>
          <w:rFonts w:ascii="Arial" w:eastAsia="Times New Roman" w:hAnsi="Arial" w:cs="Arial"/>
          <w:b/>
          <w:color w:val="000000"/>
          <w:sz w:val="18"/>
          <w:szCs w:val="18"/>
          <w:lang w:eastAsia="it-IT"/>
        </w:rPr>
        <w:t>EPgl,nren</w:t>
      </w:r>
      <w:proofErr w:type="spellEnd"/>
      <w:r w:rsidRPr="00814424">
        <w:rPr>
          <w:rFonts w:ascii="Arial" w:eastAsia="Times New Roman" w:hAnsi="Arial" w:cs="Arial"/>
          <w:color w:val="000000"/>
          <w:sz w:val="18"/>
          <w:szCs w:val="18"/>
          <w:lang w:eastAsia="it-IT"/>
        </w:rPr>
        <w:t xml:space="preserve">. In analogia con l’attuale classificazione, la classe energetica è contrassegnata da un indicatore alfabetico in cui la lettera </w:t>
      </w:r>
      <w:r w:rsidRPr="005B4CA9">
        <w:rPr>
          <w:rFonts w:ascii="Arial" w:eastAsia="Times New Roman" w:hAnsi="Arial" w:cs="Arial"/>
          <w:b/>
          <w:color w:val="000000"/>
          <w:sz w:val="18"/>
          <w:szCs w:val="18"/>
          <w:lang w:eastAsia="it-IT"/>
        </w:rPr>
        <w:t>G</w:t>
      </w:r>
      <w:r w:rsidRPr="00814424">
        <w:rPr>
          <w:rFonts w:ascii="Arial" w:eastAsia="Times New Roman" w:hAnsi="Arial" w:cs="Arial"/>
          <w:color w:val="000000"/>
          <w:sz w:val="18"/>
          <w:szCs w:val="18"/>
          <w:lang w:eastAsia="it-IT"/>
        </w:rPr>
        <w:t xml:space="preserve"> rappresenta la classe caratterizzata dall’indice di prestazione peggiore (maggiori consumi energetici), mentre la lettera A rappresenta la classe con il miglior indice di prestazione (minori consumi energetici). </w:t>
      </w:r>
    </w:p>
    <w:p w:rsidR="005B4CA9" w:rsidRPr="00814424" w:rsidRDefault="005B4CA9" w:rsidP="005B4CA9">
      <w:pPr>
        <w:spacing w:after="0" w:line="240" w:lineRule="atLeast"/>
        <w:jc w:val="both"/>
        <w:rPr>
          <w:rFonts w:ascii="Arial" w:eastAsia="Times New Roman" w:hAnsi="Arial" w:cs="Arial"/>
          <w:color w:val="000000"/>
          <w:sz w:val="18"/>
          <w:szCs w:val="18"/>
          <w:lang w:eastAsia="it-IT"/>
        </w:rPr>
      </w:pPr>
      <w:r w:rsidRPr="00814424">
        <w:rPr>
          <w:rFonts w:ascii="Arial" w:eastAsia="Times New Roman" w:hAnsi="Arial" w:cs="Arial"/>
          <w:color w:val="000000"/>
          <w:sz w:val="18"/>
          <w:szCs w:val="18"/>
          <w:lang w:eastAsia="it-IT"/>
        </w:rPr>
        <w:t>La </w:t>
      </w:r>
      <w:r w:rsidRPr="00814424">
        <w:rPr>
          <w:rFonts w:ascii="Arial" w:eastAsia="Times New Roman" w:hAnsi="Arial" w:cs="Arial"/>
          <w:b/>
          <w:bCs/>
          <w:color w:val="000000"/>
          <w:sz w:val="18"/>
          <w:szCs w:val="18"/>
          <w:bdr w:val="none" w:sz="0" w:space="0" w:color="auto" w:frame="1"/>
          <w:lang w:eastAsia="it-IT"/>
        </w:rPr>
        <w:t>novità</w:t>
      </w:r>
      <w:r w:rsidRPr="00814424">
        <w:rPr>
          <w:rFonts w:ascii="Arial" w:eastAsia="Times New Roman" w:hAnsi="Arial" w:cs="Arial"/>
          <w:color w:val="000000"/>
          <w:sz w:val="18"/>
          <w:szCs w:val="18"/>
          <w:lang w:eastAsia="it-IT"/>
        </w:rPr>
        <w:t> consiste nel fatto che un </w:t>
      </w:r>
      <w:r w:rsidRPr="00814424">
        <w:rPr>
          <w:rFonts w:ascii="Arial" w:eastAsia="Times New Roman" w:hAnsi="Arial" w:cs="Arial"/>
          <w:b/>
          <w:bCs/>
          <w:color w:val="000000"/>
          <w:sz w:val="18"/>
          <w:szCs w:val="18"/>
          <w:bdr w:val="none" w:sz="0" w:space="0" w:color="auto" w:frame="1"/>
          <w:lang w:eastAsia="it-IT"/>
        </w:rPr>
        <w:t>indicatore numerico</w:t>
      </w:r>
      <w:r w:rsidRPr="00814424">
        <w:rPr>
          <w:rFonts w:ascii="Arial" w:eastAsia="Times New Roman" w:hAnsi="Arial" w:cs="Arial"/>
          <w:color w:val="000000"/>
          <w:sz w:val="18"/>
          <w:szCs w:val="18"/>
          <w:lang w:eastAsia="it-IT"/>
        </w:rPr>
        <w:t>, affiancato alla lettera A, </w:t>
      </w:r>
      <w:r w:rsidRPr="00814424">
        <w:rPr>
          <w:rFonts w:ascii="Arial" w:eastAsia="Times New Roman" w:hAnsi="Arial" w:cs="Arial"/>
          <w:b/>
          <w:bCs/>
          <w:color w:val="000000"/>
          <w:sz w:val="18"/>
          <w:szCs w:val="18"/>
          <w:bdr w:val="none" w:sz="0" w:space="0" w:color="auto" w:frame="1"/>
          <w:lang w:eastAsia="it-IT"/>
        </w:rPr>
        <w:t>identifica i livelli di prestazione energetica in ordine crescente a partire da 1</w:t>
      </w:r>
      <w:r w:rsidRPr="00814424">
        <w:rPr>
          <w:rFonts w:ascii="Arial" w:eastAsia="Times New Roman" w:hAnsi="Arial" w:cs="Arial"/>
          <w:color w:val="000000"/>
          <w:sz w:val="18"/>
          <w:szCs w:val="18"/>
          <w:lang w:eastAsia="it-IT"/>
        </w:rPr>
        <w:t> (rappresentante del più basso livello di prestazione energetica della classe A) </w:t>
      </w:r>
      <w:r w:rsidRPr="00814424">
        <w:rPr>
          <w:rFonts w:ascii="Arial" w:eastAsia="Times New Roman" w:hAnsi="Arial" w:cs="Arial"/>
          <w:b/>
          <w:bCs/>
          <w:color w:val="000000"/>
          <w:sz w:val="18"/>
          <w:szCs w:val="18"/>
          <w:bdr w:val="none" w:sz="0" w:space="0" w:color="auto" w:frame="1"/>
          <w:lang w:eastAsia="it-IT"/>
        </w:rPr>
        <w:t>fino a 4</w:t>
      </w:r>
      <w:r w:rsidRPr="00814424">
        <w:rPr>
          <w:rFonts w:ascii="Arial" w:eastAsia="Times New Roman" w:hAnsi="Arial" w:cs="Arial"/>
          <w:color w:val="000000"/>
          <w:sz w:val="18"/>
          <w:szCs w:val="18"/>
          <w:lang w:eastAsia="it-IT"/>
        </w:rPr>
        <w:t xml:space="preserve">. Un apposito spazio, se barrato, indica che si tratta di un </w:t>
      </w:r>
      <w:r w:rsidRPr="005B4CA9">
        <w:rPr>
          <w:rFonts w:ascii="Arial" w:eastAsia="Times New Roman" w:hAnsi="Arial" w:cs="Arial"/>
          <w:b/>
          <w:color w:val="000000"/>
          <w:sz w:val="18"/>
          <w:szCs w:val="18"/>
          <w:lang w:eastAsia="it-IT"/>
        </w:rPr>
        <w:t>“Edificio a energia quasi zero”</w:t>
      </w:r>
      <w:r w:rsidRPr="00814424">
        <w:rPr>
          <w:rFonts w:ascii="Arial" w:eastAsia="Times New Roman" w:hAnsi="Arial" w:cs="Arial"/>
          <w:color w:val="000000"/>
          <w:sz w:val="18"/>
          <w:szCs w:val="18"/>
          <w:lang w:eastAsia="it-IT"/>
        </w:rPr>
        <w:t xml:space="preserve"> come definito dal decreto 26 giugno 2015 sui requisiti minimi.</w:t>
      </w:r>
    </w:p>
    <w:p w:rsidR="009916F7" w:rsidRDefault="00814424" w:rsidP="00814424">
      <w:pPr>
        <w:spacing w:after="0" w:line="240" w:lineRule="atLeast"/>
        <w:jc w:val="both"/>
        <w:rPr>
          <w:rFonts w:ascii="Arial" w:eastAsia="Times New Roman" w:hAnsi="Arial" w:cs="Arial"/>
          <w:color w:val="000000"/>
          <w:sz w:val="18"/>
          <w:szCs w:val="18"/>
          <w:lang w:eastAsia="it-IT"/>
        </w:rPr>
      </w:pPr>
      <w:r w:rsidRPr="00814424">
        <w:rPr>
          <w:rFonts w:ascii="Arial" w:eastAsia="Times New Roman" w:hAnsi="Arial" w:cs="Arial"/>
          <w:color w:val="000000"/>
          <w:sz w:val="18"/>
          <w:szCs w:val="18"/>
          <w:lang w:eastAsia="it-IT"/>
        </w:rPr>
        <w:br/>
        <w:t>Il decreto 26 giugno 2015 definisce anche la </w:t>
      </w:r>
      <w:r w:rsidRPr="00814424">
        <w:rPr>
          <w:rFonts w:ascii="Arial" w:eastAsia="Times New Roman" w:hAnsi="Arial" w:cs="Arial"/>
          <w:b/>
          <w:bCs/>
          <w:color w:val="000000"/>
          <w:sz w:val="18"/>
          <w:szCs w:val="18"/>
          <w:bdr w:val="none" w:sz="0" w:space="0" w:color="auto" w:frame="1"/>
          <w:lang w:eastAsia="it-IT"/>
        </w:rPr>
        <w:t>realizzazione di un sistema informativo comune per tutto il territorio nazionale</w:t>
      </w:r>
      <w:r w:rsidRPr="00814424">
        <w:rPr>
          <w:rFonts w:ascii="Arial" w:eastAsia="Times New Roman" w:hAnsi="Arial" w:cs="Arial"/>
          <w:color w:val="000000"/>
          <w:sz w:val="18"/>
          <w:szCs w:val="18"/>
          <w:lang w:eastAsia="it-IT"/>
        </w:rPr>
        <w:t> (il cosiddetto SIAPE), che comprenda la gestione di un catasto nazionale degli attestati di prestazione energetica, degli impianti termici e dei relativi controlli e ispezioni pubblici.</w:t>
      </w:r>
    </w:p>
    <w:sectPr w:rsidR="00991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7AC6"/>
    <w:multiLevelType w:val="multilevel"/>
    <w:tmpl w:val="80C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4"/>
    <w:rsid w:val="00023CF0"/>
    <w:rsid w:val="00060E6E"/>
    <w:rsid w:val="005B4CA9"/>
    <w:rsid w:val="00615B3B"/>
    <w:rsid w:val="006774DD"/>
    <w:rsid w:val="007E5BB4"/>
    <w:rsid w:val="00814424"/>
    <w:rsid w:val="0085264F"/>
    <w:rsid w:val="009916F7"/>
    <w:rsid w:val="00F04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4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814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442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144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14424"/>
  </w:style>
  <w:style w:type="character" w:styleId="Collegamentoipertestuale">
    <w:name w:val="Hyperlink"/>
    <w:basedOn w:val="Carpredefinitoparagrafo"/>
    <w:uiPriority w:val="99"/>
    <w:semiHidden/>
    <w:unhideWhenUsed/>
    <w:rsid w:val="00814424"/>
    <w:rPr>
      <w:color w:val="0000FF"/>
      <w:u w:val="single"/>
    </w:rPr>
  </w:style>
  <w:style w:type="character" w:styleId="Enfasicorsivo">
    <w:name w:val="Emphasis"/>
    <w:basedOn w:val="Carpredefinitoparagrafo"/>
    <w:uiPriority w:val="20"/>
    <w:qFormat/>
    <w:rsid w:val="00814424"/>
    <w:rPr>
      <w:i/>
      <w:iCs/>
    </w:rPr>
  </w:style>
  <w:style w:type="character" w:styleId="Enfasigrassetto">
    <w:name w:val="Strong"/>
    <w:basedOn w:val="Carpredefinitoparagrafo"/>
    <w:uiPriority w:val="22"/>
    <w:qFormat/>
    <w:rsid w:val="00814424"/>
    <w:rPr>
      <w:b/>
      <w:bCs/>
    </w:rPr>
  </w:style>
  <w:style w:type="character" w:customStyle="1" w:styleId="Titolo3Carattere">
    <w:name w:val="Titolo 3 Carattere"/>
    <w:basedOn w:val="Carpredefinitoparagrafo"/>
    <w:link w:val="Titolo3"/>
    <w:uiPriority w:val="9"/>
    <w:semiHidden/>
    <w:rsid w:val="0081442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4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8144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442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144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14424"/>
  </w:style>
  <w:style w:type="character" w:styleId="Collegamentoipertestuale">
    <w:name w:val="Hyperlink"/>
    <w:basedOn w:val="Carpredefinitoparagrafo"/>
    <w:uiPriority w:val="99"/>
    <w:semiHidden/>
    <w:unhideWhenUsed/>
    <w:rsid w:val="00814424"/>
    <w:rPr>
      <w:color w:val="0000FF"/>
      <w:u w:val="single"/>
    </w:rPr>
  </w:style>
  <w:style w:type="character" w:styleId="Enfasicorsivo">
    <w:name w:val="Emphasis"/>
    <w:basedOn w:val="Carpredefinitoparagrafo"/>
    <w:uiPriority w:val="20"/>
    <w:qFormat/>
    <w:rsid w:val="00814424"/>
    <w:rPr>
      <w:i/>
      <w:iCs/>
    </w:rPr>
  </w:style>
  <w:style w:type="character" w:styleId="Enfasigrassetto">
    <w:name w:val="Strong"/>
    <w:basedOn w:val="Carpredefinitoparagrafo"/>
    <w:uiPriority w:val="22"/>
    <w:qFormat/>
    <w:rsid w:val="00814424"/>
    <w:rPr>
      <w:b/>
      <w:bCs/>
    </w:rPr>
  </w:style>
  <w:style w:type="character" w:customStyle="1" w:styleId="Titolo3Carattere">
    <w:name w:val="Titolo 3 Carattere"/>
    <w:basedOn w:val="Carpredefinitoparagrafo"/>
    <w:link w:val="Titolo3"/>
    <w:uiPriority w:val="9"/>
    <w:semiHidden/>
    <w:rsid w:val="0081442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414">
      <w:bodyDiv w:val="1"/>
      <w:marLeft w:val="0"/>
      <w:marRight w:val="0"/>
      <w:marTop w:val="0"/>
      <w:marBottom w:val="0"/>
      <w:divBdr>
        <w:top w:val="none" w:sz="0" w:space="0" w:color="auto"/>
        <w:left w:val="none" w:sz="0" w:space="0" w:color="auto"/>
        <w:bottom w:val="none" w:sz="0" w:space="0" w:color="auto"/>
        <w:right w:val="none" w:sz="0" w:space="0" w:color="auto"/>
      </w:divBdr>
    </w:div>
    <w:div w:id="59987884">
      <w:bodyDiv w:val="1"/>
      <w:marLeft w:val="0"/>
      <w:marRight w:val="0"/>
      <w:marTop w:val="0"/>
      <w:marBottom w:val="0"/>
      <w:divBdr>
        <w:top w:val="none" w:sz="0" w:space="0" w:color="auto"/>
        <w:left w:val="none" w:sz="0" w:space="0" w:color="auto"/>
        <w:bottom w:val="none" w:sz="0" w:space="0" w:color="auto"/>
        <w:right w:val="none" w:sz="0" w:space="0" w:color="auto"/>
      </w:divBdr>
    </w:div>
    <w:div w:id="455367747">
      <w:bodyDiv w:val="1"/>
      <w:marLeft w:val="0"/>
      <w:marRight w:val="0"/>
      <w:marTop w:val="0"/>
      <w:marBottom w:val="0"/>
      <w:divBdr>
        <w:top w:val="none" w:sz="0" w:space="0" w:color="auto"/>
        <w:left w:val="none" w:sz="0" w:space="0" w:color="auto"/>
        <w:bottom w:val="none" w:sz="0" w:space="0" w:color="auto"/>
        <w:right w:val="none" w:sz="0" w:space="0" w:color="auto"/>
      </w:divBdr>
    </w:div>
    <w:div w:id="700470016">
      <w:bodyDiv w:val="1"/>
      <w:marLeft w:val="0"/>
      <w:marRight w:val="0"/>
      <w:marTop w:val="0"/>
      <w:marBottom w:val="0"/>
      <w:divBdr>
        <w:top w:val="none" w:sz="0" w:space="0" w:color="auto"/>
        <w:left w:val="none" w:sz="0" w:space="0" w:color="auto"/>
        <w:bottom w:val="none" w:sz="0" w:space="0" w:color="auto"/>
        <w:right w:val="none" w:sz="0" w:space="0" w:color="auto"/>
      </w:divBdr>
    </w:div>
    <w:div w:id="1356227204">
      <w:bodyDiv w:val="1"/>
      <w:marLeft w:val="0"/>
      <w:marRight w:val="0"/>
      <w:marTop w:val="0"/>
      <w:marBottom w:val="0"/>
      <w:divBdr>
        <w:top w:val="none" w:sz="0" w:space="0" w:color="auto"/>
        <w:left w:val="none" w:sz="0" w:space="0" w:color="auto"/>
        <w:bottom w:val="none" w:sz="0" w:space="0" w:color="auto"/>
        <w:right w:val="none" w:sz="0" w:space="0" w:color="auto"/>
      </w:divBdr>
    </w:div>
    <w:div w:id="1511794649">
      <w:bodyDiv w:val="1"/>
      <w:marLeft w:val="0"/>
      <w:marRight w:val="0"/>
      <w:marTop w:val="0"/>
      <w:marBottom w:val="0"/>
      <w:divBdr>
        <w:top w:val="none" w:sz="0" w:space="0" w:color="auto"/>
        <w:left w:val="none" w:sz="0" w:space="0" w:color="auto"/>
        <w:bottom w:val="none" w:sz="0" w:space="0" w:color="auto"/>
        <w:right w:val="none" w:sz="0" w:space="0" w:color="auto"/>
      </w:divBdr>
    </w:div>
    <w:div w:id="15175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667</Words>
  <Characters>3805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cp:revision>
  <dcterms:created xsi:type="dcterms:W3CDTF">2016-01-14T17:08:00Z</dcterms:created>
  <dcterms:modified xsi:type="dcterms:W3CDTF">2016-01-14T17:12:00Z</dcterms:modified>
</cp:coreProperties>
</file>